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8606"/>
      </w:tblGrid>
      <w:tr>
        <w:tc>
          <w:tcPr>
            <w:tcW w:type="dxa" w:w="1500"/>
            <w:tcBorders>
              <w:top w:val="single" w:color="92400E" w:sz="4"/>
              <w:left w:val="single" w:color="92400E" w:sz="4"/>
              <w:bottom w:val="single" w:color="92400E" w:sz="4"/>
              <w:right w:val="single" w:color="92400E" w:sz="4"/>
            </w:tcBorders>
            <w:shd w:fill="92400E" w:color="auto" w:val="clear"/>
            <w:tcMar>
              <w:top w:type="dxa" w:w="160"/>
              <w:left w:type="dxa" w:w="120"/>
              <w:bottom w:type="dxa" w:w="16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drawing>
                <wp:inline distT="0" distB="0" distL="0" distR="0">
                  <wp:extent cx="666750" cy="666750"/>
                  <wp:effectExtent t="0" r="0" b="0" l="0"/>
                  <wp:docPr id="1" name="logo" descr="logo" title="AbOnlinEnglis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666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606"/>
            <w:tcBorders>
              <w:top w:val="single" w:color="92400E" w:sz="4"/>
              <w:left w:val="single" w:color="92400E" w:sz="4"/>
              <w:bottom w:val="single" w:color="92400E" w:sz="4"/>
              <w:right w:val="single" w:color="92400E" w:sz="4"/>
            </w:tcBorders>
            <w:shd w:fill="92400E" w:color="auto" w:val="clear"/>
            <w:tcMar>
              <w:top w:type="dxa" w:w="160"/>
              <w:left w:type="dxa" w:w="120"/>
              <w:bottom w:type="dxa" w:w="160"/>
              <w:right w:type="dxa" w:w="120"/>
            </w:tcMar>
            <w:vAlign w:val="center"/>
          </w:tcPr>
          <w:p>
            <w:pPr>
              <w:spacing w:after="4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16"/>
                <w:szCs w:val="16"/>
              </w:rPr>
              <w:t xml:space="preserve">C1 · ADVANCED · ÜNİTE 9</w:t>
            </w:r>
          </w:p>
          <w:p>
            <w:pPr>
              <w:spacing w:after="40" w:before="0" w:line="276"/>
            </w:pPr>
            <w:r>
              <w:rPr>
                <w:rFonts w:ascii="Georgia" w:cs="Georgia" w:eastAsia="Georgia" w:hAnsi="Georgia"/>
                <w:b/>
                <w:bCs/>
                <w:color w:val="FFFFFF"/>
                <w:sz w:val="40"/>
                <w:szCs w:val="40"/>
              </w:rPr>
              <w:t xml:space="preserve">⏳ Time, Regret &amp; the Unlived Life</w:t>
            </w:r>
          </w:p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color w:val="E2E8F0"/>
                <w:sz w:val="19"/>
                <w:szCs w:val="19"/>
              </w:rPr>
              <w:t xml:space="preserve">Gramer: Synthesis of All C1 Structures</w:t>
            </w:r>
          </w:p>
        </w:tc>
      </w:tr>
    </w:tbl>
    <w:p>
      <w:pPr>
        <w:spacing w:after="120" w:before="0" w:line="276"/>
      </w:pP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68"/>
        <w:gridCol w:w="3368"/>
        <w:gridCol w:w="3370"/>
      </w:tblGrid>
      <w:tr>
        <w:tc>
          <w:tcPr>
            <w:tcW w:type="dxa" w:w="3368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  <w:tcMar>
              <w:top w:type="dxa" w:w="200"/>
              <w:left w:type="dxa" w:w="120"/>
              <w:bottom w:type="dxa" w:w="20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color w:val="64748B"/>
                <w:sz w:val="18"/>
                <w:szCs w:val="18"/>
              </w:rPr>
              <w:t xml:space="preserve">Ad Soyad:</w:t>
            </w:r>
          </w:p>
        </w:tc>
        <w:tc>
          <w:tcPr>
            <w:tcW w:type="dxa" w:w="3368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  <w:tcMar>
              <w:top w:type="dxa" w:w="200"/>
              <w:left w:type="dxa" w:w="120"/>
              <w:bottom w:type="dxa" w:w="20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color w:val="64748B"/>
                <w:sz w:val="18"/>
                <w:szCs w:val="18"/>
              </w:rPr>
              <w:t xml:space="preserve">Sınıf / Tarih:</w:t>
            </w:r>
          </w:p>
        </w:tc>
        <w:tc>
          <w:tcPr>
            <w:tcW w:type="dxa" w:w="3370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  <w:tcMar>
              <w:top w:type="dxa" w:w="200"/>
              <w:left w:type="dxa" w:w="120"/>
              <w:bottom w:type="dxa" w:w="20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color w:val="64748B"/>
                <w:sz w:val="18"/>
                <w:szCs w:val="18"/>
              </w:rPr>
              <w:t xml:space="preserve">Puan: ____ / 15</w:t>
            </w:r>
          </w:p>
        </w:tc>
      </w:tr>
    </w:tbl>
    <w:p>
      <w:pPr>
        <w:spacing w:after="100" w:before="0" w:line="276"/>
      </w:pP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06"/>
      </w:tblGrid>
      <w:tr>
        <w:tc>
          <w:tcPr>
            <w:tcW w:type="dxa" w:w="10106"/>
            <w:tcBorders>
              <w:top w:val="none" w:color="FFFFFF" w:sz="0"/>
              <w:left w:val="single" w:color="D97706" w:sz="24"/>
              <w:bottom w:val="none" w:color="FFFFFF" w:sz="0"/>
              <w:right w:val="none" w:color="FFFFFF" w:sz="0"/>
            </w:tcBorders>
            <w:shd w:fill="F8FAFC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color w:val="374151"/>
                <w:sz w:val="19"/>
                <w:szCs w:val="19"/>
              </w:rPr>
              <w:t xml:space="preserve">Zaman ve pişmanlık temasıyla inversion, nominal clause, participial phrase, ileri concession ve stance adverbial'ları tek metinde birleştirmeyi çalışıyorsun.</w:t>
            </w:r>
          </w:p>
        </w:tc>
      </w:tr>
    </w:tbl>
    <w:p>
      <w:pPr>
        <w:spacing w:after="200" w:before="0" w:line="276"/>
      </w:pP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0"/>
        <w:gridCol w:w="9586"/>
      </w:tblGrid>
      <w:tr>
        <w:tc>
          <w:tcPr>
            <w:tcW w:type="dxa" w:w="5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D97706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 w:line="276"/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22"/>
                <w:szCs w:val="22"/>
              </w:rPr>
              <w:t xml:space="preserve">1</w:t>
            </w:r>
          </w:p>
        </w:tc>
        <w:tc>
          <w:tcPr>
            <w:tcW w:type="dxa" w:w="9586"/>
            <w:tcBorders>
              <w:top w:val="none" w:color="FFFFFF" w:sz="0"/>
              <w:left w:val="none" w:color="FFFFFF" w:sz="0"/>
              <w:bottom w:val="single" w:color="FEF3C7" w:sz="12"/>
              <w:right w:val="none" w:color="FFFFFF" w:sz="0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Georgia" w:cs="Georgia" w:eastAsia="Georgia" w:hAnsi="Georgia"/>
                <w:b/>
                <w:bCs/>
                <w:color w:val="0F1E3C"/>
                <w:sz w:val="30"/>
                <w:szCs w:val="30"/>
              </w:rPr>
              <w:t xml:space="preserve">Vocabulary · Kelimeler</w:t>
            </w:r>
          </w:p>
        </w:tc>
      </w:tr>
    </w:tbl>
    <w:p>
      <w:pPr>
        <w:spacing w:after="100" w:before="0" w:line="276"/>
      </w:pP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0"/>
        <w:gridCol w:w="4323"/>
        <w:gridCol w:w="5283"/>
      </w:tblGrid>
      <w:tr>
        <w:trPr>
          <w:tblHeader/>
        </w:trPr>
        <w:tc>
          <w:tcPr>
            <w:tcW w:type="dxa" w:w="500"/>
            <w:tcBorders>
              <w:top w:val="single" w:color="0F1E3C" w:sz="4"/>
              <w:left w:val="single" w:color="0F1E3C" w:sz="4"/>
              <w:bottom w:val="single" w:color="0F1E3C" w:sz="4"/>
              <w:right w:val="single" w:color="0F1E3C" w:sz="4"/>
            </w:tcBorders>
            <w:shd w:fill="0F1E3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16"/>
                <w:szCs w:val="16"/>
              </w:rPr>
              <w:t xml:space="preserve">#</w:t>
            </w:r>
          </w:p>
        </w:tc>
        <w:tc>
          <w:tcPr>
            <w:tcW w:type="dxa" w:w="4323"/>
            <w:tcBorders>
              <w:top w:val="single" w:color="0F1E3C" w:sz="4"/>
              <w:left w:val="single" w:color="0F1E3C" w:sz="4"/>
              <w:bottom w:val="single" w:color="0F1E3C" w:sz="4"/>
              <w:right w:val="single" w:color="0F1E3C" w:sz="4"/>
            </w:tcBorders>
            <w:shd w:fill="0F1E3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16"/>
                <w:szCs w:val="16"/>
              </w:rPr>
              <w:t xml:space="preserve">WORD / CHUNK</w:t>
            </w:r>
          </w:p>
        </w:tc>
        <w:tc>
          <w:tcPr>
            <w:tcW w:type="dxa" w:w="5283"/>
            <w:tcBorders>
              <w:top w:val="single" w:color="0F1E3C" w:sz="4"/>
              <w:left w:val="single" w:color="0F1E3C" w:sz="4"/>
              <w:bottom w:val="single" w:color="0F1E3C" w:sz="4"/>
              <w:right w:val="single" w:color="0F1E3C" w:sz="4"/>
            </w:tcBorders>
            <w:shd w:fill="0F1E3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16"/>
                <w:szCs w:val="16"/>
              </w:rPr>
              <w:t xml:space="preserve">TÜRKÇE AÇIKLAMA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64748B"/>
                <w:sz w:val="18"/>
                <w:szCs w:val="18"/>
              </w:rPr>
              <w:t xml:space="preserve">1</w:t>
            </w:r>
          </w:p>
        </w:tc>
        <w:tc>
          <w:tcPr>
            <w:tcW w:type="dxa" w:w="432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20"/>
                <w:szCs w:val="20"/>
              </w:rPr>
              <w:t xml:space="preserve">counterfactual thinking</w:t>
            </w:r>
          </w:p>
        </w:tc>
        <w:tc>
          <w:tcPr>
            <w:tcW w:type="dxa" w:w="528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Karşıolgusal düşünme — ne olurdu, ne olabilirdi?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64748B"/>
                <w:sz w:val="18"/>
                <w:szCs w:val="18"/>
              </w:rPr>
              <w:t xml:space="preserve">2</w:t>
            </w:r>
          </w:p>
        </w:tc>
        <w:tc>
          <w:tcPr>
            <w:tcW w:type="dxa" w:w="432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20"/>
                <w:szCs w:val="20"/>
              </w:rPr>
              <w:t xml:space="preserve">rumination</w:t>
            </w:r>
          </w:p>
        </w:tc>
        <w:tc>
          <w:tcPr>
            <w:tcW w:type="dxa" w:w="528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Zihinsel çözümsüz döngü — obsessif geçmiş düşünme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64748B"/>
                <w:sz w:val="18"/>
                <w:szCs w:val="18"/>
              </w:rPr>
              <w:t xml:space="preserve">3</w:t>
            </w:r>
          </w:p>
        </w:tc>
        <w:tc>
          <w:tcPr>
            <w:tcW w:type="dxa" w:w="432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20"/>
                <w:szCs w:val="20"/>
              </w:rPr>
              <w:t xml:space="preserve">equanimity</w:t>
            </w:r>
          </w:p>
        </w:tc>
        <w:tc>
          <w:tcPr>
            <w:tcW w:type="dxa" w:w="528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Dinginlik, huzurlu kabullenme — stoic serenity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64748B"/>
                <w:sz w:val="18"/>
                <w:szCs w:val="18"/>
              </w:rPr>
              <w:t xml:space="preserve">4</w:t>
            </w:r>
          </w:p>
        </w:tc>
        <w:tc>
          <w:tcPr>
            <w:tcW w:type="dxa" w:w="432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20"/>
                <w:szCs w:val="20"/>
              </w:rPr>
              <w:t xml:space="preserve">mortality salience</w:t>
            </w:r>
          </w:p>
        </w:tc>
        <w:tc>
          <w:tcPr>
            <w:tcW w:type="dxa" w:w="528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Ölüm farkındalığı — ölüm düşüncesinin kararlarımıza etkisi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64748B"/>
                <w:sz w:val="18"/>
                <w:szCs w:val="18"/>
              </w:rPr>
              <w:t xml:space="preserve">5</w:t>
            </w:r>
          </w:p>
        </w:tc>
        <w:tc>
          <w:tcPr>
            <w:tcW w:type="dxa" w:w="432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20"/>
                <w:szCs w:val="20"/>
              </w:rPr>
              <w:t xml:space="preserve">legacy</w:t>
            </w:r>
          </w:p>
        </w:tc>
        <w:tc>
          <w:tcPr>
            <w:tcW w:type="dxa" w:w="528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Miras — arkamızda bıraktığımız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64748B"/>
                <w:sz w:val="18"/>
                <w:szCs w:val="18"/>
              </w:rPr>
              <w:t xml:space="preserve">6</w:t>
            </w:r>
          </w:p>
        </w:tc>
        <w:tc>
          <w:tcPr>
            <w:tcW w:type="dxa" w:w="432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20"/>
                <w:szCs w:val="20"/>
              </w:rPr>
              <w:t xml:space="preserve">regret minimisation framework</w:t>
            </w:r>
          </w:p>
        </w:tc>
        <w:tc>
          <w:tcPr>
            <w:tcW w:type="dxa" w:w="528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Pişmanlığı en aza indirgeme çerçevesi (Bezos)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64748B"/>
                <w:sz w:val="18"/>
                <w:szCs w:val="18"/>
              </w:rPr>
              <w:t xml:space="preserve">7</w:t>
            </w:r>
          </w:p>
        </w:tc>
        <w:tc>
          <w:tcPr>
            <w:tcW w:type="dxa" w:w="432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20"/>
                <w:szCs w:val="20"/>
              </w:rPr>
              <w:t xml:space="preserve">the examined life</w:t>
            </w:r>
          </w:p>
        </w:tc>
        <w:tc>
          <w:tcPr>
            <w:tcW w:type="dxa" w:w="528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İrdelenip yaşanan hayat — Sokrates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64748B"/>
                <w:sz w:val="18"/>
                <w:szCs w:val="18"/>
              </w:rPr>
              <w:t xml:space="preserve">8</w:t>
            </w:r>
          </w:p>
        </w:tc>
        <w:tc>
          <w:tcPr>
            <w:tcW w:type="dxa" w:w="432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20"/>
                <w:szCs w:val="20"/>
              </w:rPr>
              <w:t xml:space="preserve">reconcile with</w:t>
            </w:r>
          </w:p>
        </w:tc>
        <w:tc>
          <w:tcPr>
            <w:tcW w:type="dxa" w:w="528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Uzlaşmak, barışmak — make peace with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64748B"/>
                <w:sz w:val="18"/>
                <w:szCs w:val="18"/>
              </w:rPr>
              <w:t xml:space="preserve">9</w:t>
            </w:r>
          </w:p>
        </w:tc>
        <w:tc>
          <w:tcPr>
            <w:tcW w:type="dxa" w:w="432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20"/>
                <w:szCs w:val="20"/>
              </w:rPr>
              <w:t xml:space="preserve">hindsight bias</w:t>
            </w:r>
          </w:p>
        </w:tc>
        <w:tc>
          <w:tcPr>
            <w:tcW w:type="dxa" w:w="528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Geri dönük yanılgı — 'Zaten biliyordum' hatası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64748B"/>
                <w:sz w:val="18"/>
                <w:szCs w:val="18"/>
              </w:rPr>
              <w:t xml:space="preserve">10</w:t>
            </w:r>
          </w:p>
        </w:tc>
        <w:tc>
          <w:tcPr>
            <w:tcW w:type="dxa" w:w="432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20"/>
                <w:szCs w:val="20"/>
              </w:rPr>
              <w:t xml:space="preserve">prospective vs retrospective</w:t>
            </w:r>
          </w:p>
        </w:tc>
        <w:tc>
          <w:tcPr>
            <w:tcW w:type="dxa" w:w="528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İleriye dönük vs geriye dönük bakış açısı</w:t>
            </w:r>
          </w:p>
        </w:tc>
      </w:tr>
    </w:tbl>
    <w:p>
      <w:pPr>
        <w:spacing w:after="240" w:before="0" w:line="276"/>
      </w:pP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0"/>
        <w:gridCol w:w="9586"/>
      </w:tblGrid>
      <w:tr>
        <w:tc>
          <w:tcPr>
            <w:tcW w:type="dxa" w:w="5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D97706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 w:line="276"/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22"/>
                <w:szCs w:val="22"/>
              </w:rPr>
              <w:t xml:space="preserve">2</w:t>
            </w:r>
          </w:p>
        </w:tc>
        <w:tc>
          <w:tcPr>
            <w:tcW w:type="dxa" w:w="9586"/>
            <w:tcBorders>
              <w:top w:val="none" w:color="FFFFFF" w:sz="0"/>
              <w:left w:val="none" w:color="FFFFFF" w:sz="0"/>
              <w:bottom w:val="single" w:color="FEF3C7" w:sz="12"/>
              <w:right w:val="none" w:color="FFFFFF" w:sz="0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Georgia" w:cs="Georgia" w:eastAsia="Georgia" w:hAnsi="Georgia"/>
                <w:b/>
                <w:bCs/>
                <w:color w:val="0F1E3C"/>
                <w:sz w:val="30"/>
                <w:szCs w:val="30"/>
              </w:rPr>
              <w:t xml:space="preserve">Grammar · Gramer</w:t>
            </w:r>
          </w:p>
        </w:tc>
      </w:tr>
    </w:tbl>
    <w:p>
      <w:pPr>
        <w:spacing w:after="80" w:before="0" w:line="276"/>
      </w:pPr>
    </w:p>
    <w:p>
      <w:pPr>
        <w:keepNext/>
        <w:spacing w:after="100" w:before="120" w:line="276"/>
      </w:pPr>
      <w:r>
        <w:rPr>
          <w:rFonts w:ascii="Georgia" w:cs="Georgia" w:eastAsia="Georgia" w:hAnsi="Georgia"/>
          <w:b/>
          <w:bCs/>
          <w:color w:val="0F1E3C"/>
          <w:sz w:val="28"/>
          <w:szCs w:val="28"/>
        </w:rPr>
        <w:t xml:space="preserve">C1 yapılarının sentezi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06"/>
      </w:tblGrid>
      <w:tr>
        <w:tc>
          <w:tcPr>
            <w:tcW w:type="dxa" w:w="10106"/>
            <w:tcBorders>
              <w:top w:val="none" w:color="FFFFFF" w:sz="0"/>
              <w:left w:val="single" w:color="E8A020" w:sz="24"/>
              <w:bottom w:val="none" w:color="FFFFFF" w:sz="0"/>
              <w:right w:val="none" w:color="FFFFFF" w:sz="0"/>
            </w:tcBorders>
            <w:shd w:fill="F8FAFC" w:color="auto" w:val="clear"/>
            <w:tcMar>
              <w:top w:type="dxa" w:w="110"/>
              <w:left w:type="dxa" w:w="120"/>
              <w:bottom w:type="dxa" w:w="110"/>
              <w:right w:type="dxa" w:w="120"/>
            </w:tcMar>
          </w:tcPr>
          <w:p>
            <w:pPr>
              <w:spacing w:after="4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1"/>
                <w:szCs w:val="21"/>
              </w:rPr>
              <w:t xml:space="preserve">Bu ünite yeni bir kural öğretmez; C1 boyunca gördüğün yapıları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1"/>
                <w:szCs w:val="21"/>
              </w:rPr>
              <w:t xml:space="preserve">bir arada ve doğal biçimde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1"/>
                <w:szCs w:val="21"/>
              </w:rPr>
              <w:t xml:space="preserve"> kullanmayı hedefler. Amaç her cümleye bir “zor yapı” sıkıştırmak değil, her yapıyı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1"/>
                <w:szCs w:val="21"/>
              </w:rPr>
              <w:t xml:space="preserve">işlevine göre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1"/>
                <w:szCs w:val="21"/>
              </w:rPr>
              <w:t xml:space="preserve"> seçmektir: vurgu için inversion, arka plan bilgisi için participle, denge için concession, karmaşık fikirler için nominal clause.</w:t>
            </w:r>
          </w:p>
        </w:tc>
      </w:tr>
    </w:tbl>
    <w:p>
      <w:pPr>
        <w:spacing w:after="80" w:before="0" w:line="276"/>
      </w:pPr>
    </w:p>
    <w:p>
      <w:pPr>
        <w:keepNext/>
        <w:pBdr>
          <w:bottom w:val="single" w:color="E2E8F0" w:sz="4" w:space="2"/>
        </w:pBdr>
        <w:spacing w:after="80" w:before="16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1E3C"/>
          <w:sz w:val="22"/>
          <w:szCs w:val="22"/>
        </w:rPr>
        <w:t xml:space="preserve">📌 Özet tablo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25"/>
        <w:gridCol w:w="2560"/>
        <w:gridCol w:w="2560"/>
        <w:gridCol w:w="2561"/>
      </w:tblGrid>
      <w:tr>
        <w:trPr>
          <w:tblHeader/>
        </w:trPr>
        <w:tc>
          <w:tcPr>
            <w:tcW w:type="dxa" w:w="2425"/>
            <w:tcBorders>
              <w:top w:val="single" w:color="0F1E3C" w:sz="4"/>
              <w:left w:val="single" w:color="0F1E3C" w:sz="4"/>
              <w:bottom w:val="single" w:color="0F1E3C" w:sz="4"/>
              <w:right w:val="single" w:color="0F1E3C" w:sz="4"/>
            </w:tcBorders>
            <w:shd w:fill="0F1E3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18"/>
                <w:szCs w:val="18"/>
              </w:rPr>
              <w:t xml:space="preserve">Yapı / Kural</w:t>
            </w:r>
          </w:p>
        </w:tc>
        <w:tc>
          <w:tcPr>
            <w:tcW w:type="dxa" w:w="2560"/>
            <w:tcBorders>
              <w:top w:val="single" w:color="0F1E3C" w:sz="4"/>
              <w:left w:val="single" w:color="0F1E3C" w:sz="4"/>
              <w:bottom w:val="single" w:color="0F1E3C" w:sz="4"/>
              <w:right w:val="single" w:color="0F1E3C" w:sz="4"/>
            </w:tcBorders>
            <w:shd w:fill="0F1E3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18"/>
                <w:szCs w:val="18"/>
              </w:rPr>
              <w:t xml:space="preserve">Form</w:t>
            </w:r>
          </w:p>
        </w:tc>
        <w:tc>
          <w:tcPr>
            <w:tcW w:type="dxa" w:w="2560"/>
            <w:tcBorders>
              <w:top w:val="single" w:color="0F1E3C" w:sz="4"/>
              <w:left w:val="single" w:color="0F1E3C" w:sz="4"/>
              <w:bottom w:val="single" w:color="0F1E3C" w:sz="4"/>
              <w:right w:val="single" w:color="0F1E3C" w:sz="4"/>
            </w:tcBorders>
            <w:shd w:fill="0F1E3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18"/>
                <w:szCs w:val="18"/>
              </w:rPr>
              <w:t xml:space="preserve">Anlam</w:t>
            </w:r>
          </w:p>
        </w:tc>
        <w:tc>
          <w:tcPr>
            <w:tcW w:type="dxa" w:w="2561"/>
            <w:tcBorders>
              <w:top w:val="single" w:color="0F1E3C" w:sz="4"/>
              <w:left w:val="single" w:color="0F1E3C" w:sz="4"/>
              <w:bottom w:val="single" w:color="0F1E3C" w:sz="4"/>
              <w:right w:val="single" w:color="0F1E3C" w:sz="4"/>
            </w:tcBorders>
            <w:shd w:fill="0F1E3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18"/>
                <w:szCs w:val="18"/>
              </w:rPr>
              <w:t xml:space="preserve">Örnek</w:t>
            </w:r>
          </w:p>
        </w:tc>
      </w:tr>
      <w:tr>
        <w:trPr>
          <w:cantSplit/>
        </w:trPr>
        <w:tc>
          <w:tcPr>
            <w:tcW w:type="dxa" w:w="2425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19"/>
                <w:szCs w:val="19"/>
              </w:rPr>
              <w:t xml:space="preserve">C1 Synthesis 1</w:t>
            </w:r>
          </w:p>
        </w:tc>
        <w:tc>
          <w:tcPr>
            <w:tcW w:type="dxa" w:w="256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Inversion: Never have I... / Rarely does... / No sooner had...</w:t>
            </w:r>
          </w:p>
        </w:tc>
        <w:tc>
          <w:tcPr>
            <w:tcW w:type="dxa" w:w="256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Dramatik vurgu için negatif ön yükleme</w:t>
            </w:r>
          </w:p>
        </w:tc>
        <w:tc>
          <w:tcPr>
            <w:tcW w:type="dxa" w:w="256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strike w:val="false"/>
                <w:sz w:val="19"/>
                <w:szCs w:val="19"/>
              </w:rPr>
              <w:t xml:space="preserve">Never have I regretted a conscious, well-considered choice.</w:t>
            </w:r>
          </w:p>
        </w:tc>
      </w:tr>
      <w:tr>
        <w:trPr>
          <w:cantSplit/>
        </w:trPr>
        <w:tc>
          <w:tcPr>
            <w:tcW w:type="dxa" w:w="2425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19"/>
                <w:szCs w:val="19"/>
              </w:rPr>
              <w:t xml:space="preserve">C1 Synthesis 2</w:t>
            </w:r>
          </w:p>
        </w:tc>
        <w:tc>
          <w:tcPr>
            <w:tcW w:type="dxa" w:w="256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Nominal clauses: What constitutes... / The fact that... / Whether... or not</w:t>
            </w:r>
          </w:p>
        </w:tc>
        <w:tc>
          <w:tcPr>
            <w:tcW w:type="dxa" w:w="256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Özne ve nesne olarak karmaşık isim cümlecikleri</w:t>
            </w:r>
          </w:p>
        </w:tc>
        <w:tc>
          <w:tcPr>
            <w:tcW w:type="dxa" w:w="256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strike w:val="false"/>
                <w:sz w:val="19"/>
                <w:szCs w:val="19"/>
              </w:rPr>
              <w:t xml:space="preserve">What constitutes a good life is the oldest philosophical question.</w:t>
            </w:r>
          </w:p>
        </w:tc>
      </w:tr>
      <w:tr>
        <w:trPr>
          <w:cantSplit/>
        </w:trPr>
        <w:tc>
          <w:tcPr>
            <w:tcW w:type="dxa" w:w="2425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19"/>
                <w:szCs w:val="19"/>
              </w:rPr>
              <w:t xml:space="preserve">C1 Synthesis 3</w:t>
            </w:r>
          </w:p>
        </w:tc>
        <w:tc>
          <w:tcPr>
            <w:tcW w:type="dxa" w:w="256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Participial phrases: Having reflected... / Driven by... / Weighing the evidence...</w:t>
            </w:r>
          </w:p>
        </w:tc>
        <w:tc>
          <w:tcPr>
            <w:tcW w:type="dxa" w:w="256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Özlü ve sofistike ek bilgi</w:t>
            </w:r>
          </w:p>
        </w:tc>
        <w:tc>
          <w:tcPr>
            <w:tcW w:type="dxa" w:w="256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strike w:val="false"/>
                <w:sz w:val="19"/>
                <w:szCs w:val="19"/>
              </w:rPr>
              <w:t xml:space="preserve">Having spent decades studying regret, researchers found consistent patterns.</w:t>
            </w:r>
          </w:p>
        </w:tc>
      </w:tr>
      <w:tr>
        <w:trPr>
          <w:cantSplit/>
        </w:trPr>
        <w:tc>
          <w:tcPr>
            <w:tcW w:type="dxa" w:w="2425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19"/>
                <w:szCs w:val="19"/>
              </w:rPr>
              <w:t xml:space="preserve">C1 Synthesis 4</w:t>
            </w:r>
          </w:p>
        </w:tc>
        <w:tc>
          <w:tcPr>
            <w:tcW w:type="dxa" w:w="256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Advanced concession: Compelling though... / Much as... / Notwithstanding... / For all...</w:t>
            </w:r>
          </w:p>
        </w:tc>
        <w:tc>
          <w:tcPr>
            <w:tcW w:type="dxa" w:w="256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Nüanslı, dengeli argüman yapısı</w:t>
            </w:r>
          </w:p>
        </w:tc>
        <w:tc>
          <w:tcPr>
            <w:tcW w:type="dxa" w:w="256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strike w:val="false"/>
                <w:sz w:val="19"/>
                <w:szCs w:val="19"/>
              </w:rPr>
              <w:t xml:space="preserve">Compelling though the case for ambition is, balance matters more.</w:t>
            </w:r>
          </w:p>
        </w:tc>
      </w:tr>
    </w:tbl>
    <w:p>
      <w:pPr>
        <w:spacing w:after="100" w:before="0" w:line="276"/>
      </w:pP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06"/>
      </w:tblGrid>
      <w:tr>
        <w:trPr>
          <w:cantSplit/>
        </w:trPr>
        <w:tc>
          <w:tcPr>
            <w:tcW w:type="dxa" w:w="10106"/>
            <w:tcBorders>
              <w:top w:val="single" w:color="FFFBEB" w:sz="4"/>
              <w:left w:val="single" w:color="F59E0B" w:sz="24"/>
              <w:bottom w:val="single" w:color="FFFBEB" w:sz="4"/>
              <w:right w:val="single" w:color="FFFBEB" w:sz="4"/>
            </w:tcBorders>
            <w:shd w:fill="FFFBEB" w:color="auto" w:val="clear"/>
            <w:tcMar>
              <w:top w:type="dxa" w:w="110"/>
              <w:left w:type="dxa" w:w="120"/>
              <w:bottom w:type="dxa" w:w="110"/>
              <w:right w:type="dxa" w:w="120"/>
            </w:tcMar>
          </w:tcPr>
          <w:p>
            <w:pPr>
              <w:spacing w:after="5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59E0B"/>
                <w:sz w:val="18"/>
                <w:szCs w:val="18"/>
              </w:rPr>
              <w:t xml:space="preserve">⚠️</w:t>
            </w:r>
          </w:p>
          <w:p>
            <w:pPr>
              <w:spacing w:after="3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Bu ünite tüm C1 yapılarını pekiştirmek için tasarlanmıştır. Her yazı görevinde cesaret edin: farklı yapıları birleştirin. Aynı yapıyı tekrar tekrar kullanmaktan kaçının.</w:t>
            </w:r>
          </w:p>
        </w:tc>
      </w:tr>
    </w:tbl>
    <w:p>
      <w:pPr>
        <w:spacing w:after="100" w:before="0" w:line="276"/>
      </w:pPr>
    </w:p>
    <w:p>
      <w:pPr>
        <w:keepNext/>
        <w:pBdr>
          <w:bottom w:val="single" w:color="E2E8F0" w:sz="4" w:space="2"/>
        </w:pBdr>
        <w:spacing w:after="80" w:before="16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1E3C"/>
          <w:sz w:val="22"/>
          <w:szCs w:val="22"/>
        </w:rPr>
        <w:t xml:space="preserve">🔍 Örneklerle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53"/>
        <w:gridCol w:w="5053"/>
      </w:tblGrid>
      <w:tr>
        <w:trPr>
          <w:cantSplit/>
        </w:trPr>
        <w:tc>
          <w:tcPr>
            <w:tcW w:type="dxa" w:w="505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6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64748B"/>
                <w:sz w:val="17"/>
                <w:szCs w:val="17"/>
              </w:rPr>
              <w:t xml:space="preserve">🧰 Hangi amaçla hangi yapı?</w:t>
            </w:r>
          </w:p>
          <w:p>
            <w:pPr>
              <w:spacing w:after="5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0"/>
                <w:szCs w:val="20"/>
              </w:rPr>
              <w:t xml:space="preserve">Vurgu: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0"/>
                <w:szCs w:val="20"/>
                <w:highlight w:val="yellow"/>
                <w:highlightCs w:val="yellow"/>
              </w:rPr>
              <w:t xml:space="preserve">Rarely do we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stop to ask what we really want. </w:t>
            </w: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strike w:val="false"/>
                <w:color w:val="64748B"/>
                <w:sz w:val="20"/>
                <w:szCs w:val="20"/>
              </w:rPr>
              <w:t xml:space="preserve">→ Ne istediğimizi sormak için nadiren dururuz.</w:t>
            </w:r>
          </w:p>
          <w:p>
            <w:pPr>
              <w:spacing w:after="5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0"/>
                <w:szCs w:val="20"/>
              </w:rPr>
              <w:t xml:space="preserve">Arka plan: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0"/>
                <w:szCs w:val="20"/>
                <w:highlight w:val="yellow"/>
                <w:highlightCs w:val="yellow"/>
              </w:rPr>
              <w:t xml:space="preserve">Having worked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abroad for years, she returned home. </w:t>
            </w: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strike w:val="false"/>
                <w:color w:val="64748B"/>
                <w:sz w:val="20"/>
                <w:szCs w:val="20"/>
              </w:rPr>
              <w:t xml:space="preserve">→ Yıllarca yurt dışında çalıştıktan sonra eve döndü.</w:t>
            </w:r>
          </w:p>
          <w:p>
            <w:pPr>
              <w:spacing w:after="5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0"/>
                <w:szCs w:val="20"/>
              </w:rPr>
              <w:t xml:space="preserve">Denge: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0"/>
                <w:szCs w:val="20"/>
                <w:highlight w:val="yellow"/>
                <w:highlightCs w:val="yellow"/>
              </w:rPr>
              <w:t xml:space="preserve">Much as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I value ambition, I value rest more. </w:t>
            </w: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strike w:val="false"/>
                <w:color w:val="64748B"/>
                <w:sz w:val="20"/>
                <w:szCs w:val="20"/>
              </w:rPr>
              <w:t xml:space="preserve">→ Hırsa ne kadar değer versem de dinlenmeye daha çok veririm.</w:t>
            </w:r>
          </w:p>
          <w:p>
            <w:pPr>
              <w:spacing w:after="5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0"/>
                <w:szCs w:val="20"/>
              </w:rPr>
              <w:t xml:space="preserve">Konu: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0"/>
                <w:szCs w:val="20"/>
                <w:highlight w:val="yellow"/>
                <w:highlightCs w:val="yellow"/>
              </w:rPr>
              <w:t xml:space="preserve">What matters most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is how we treat others. </w:t>
            </w: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strike w:val="false"/>
                <w:color w:val="64748B"/>
                <w:sz w:val="20"/>
                <w:szCs w:val="20"/>
              </w:rPr>
              <w:t xml:space="preserve">→ En önemli olan, başkalarına nasıl davrandığımızdır.</w:t>
            </w:r>
          </w:p>
        </w:tc>
        <w:tc>
          <w:tcPr>
            <w:tcW w:type="dxa" w:w="505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6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64748B"/>
                <w:sz w:val="17"/>
                <w:szCs w:val="17"/>
              </w:rPr>
              <w:t xml:space="preserve">🔧 Basit → C1</w:t>
            </w:r>
          </w:p>
          <w:p>
            <w:pPr>
              <w:spacing w:after="5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I didn't realise how important it was until later.</w:t>
            </w:r>
          </w:p>
          <w:p>
            <w:pPr>
              <w:spacing w:after="5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→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0"/>
                <w:szCs w:val="20"/>
                <w:highlight w:val="yellow"/>
                <w:highlightCs w:val="yellow"/>
              </w:rPr>
              <w:t xml:space="preserve">Only later did I realise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how important it was. </w:t>
            </w: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strike w:val="false"/>
                <w:color w:val="64748B"/>
                <w:sz w:val="20"/>
                <w:szCs w:val="20"/>
              </w:rPr>
              <w:t xml:space="preserve">→ Ne kadar önemli olduğunu ancak sonra fark ettim.</w:t>
            </w:r>
          </w:p>
          <w:p>
            <w:pPr>
              <w:spacing w:after="5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Although the job was well paid, he left.</w:t>
            </w:r>
          </w:p>
          <w:p>
            <w:pPr>
              <w:spacing w:after="5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→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0"/>
                <w:szCs w:val="20"/>
                <w:highlight w:val="yellow"/>
                <w:highlightCs w:val="yellow"/>
              </w:rPr>
              <w:t xml:space="preserve">Well paid though the job was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, he left. </w:t>
            </w: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strike w:val="false"/>
                <w:color w:val="64748B"/>
                <w:sz w:val="20"/>
                <w:szCs w:val="20"/>
              </w:rPr>
              <w:t xml:space="preserve">→ İş iyi maaşlı olmasına rağmen ayrıldı.</w:t>
            </w:r>
          </w:p>
        </w:tc>
      </w:tr>
    </w:tbl>
    <w:p>
      <w:pPr>
        <w:spacing w:after="100" w:before="0" w:line="276"/>
      </w:pP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06"/>
      </w:tblGrid>
      <w:tr>
        <w:trPr>
          <w:cantSplit/>
        </w:trPr>
        <w:tc>
          <w:tcPr>
            <w:tcW w:type="dxa" w:w="10106"/>
            <w:tcBorders>
              <w:top w:val="single" w:color="F0FDF4" w:sz="4"/>
              <w:left w:val="single" w:color="22C55E" w:sz="24"/>
              <w:bottom w:val="single" w:color="F0FDF4" w:sz="4"/>
              <w:right w:val="single" w:color="F0FDF4" w:sz="4"/>
            </w:tcBorders>
            <w:shd w:fill="F0FDF4" w:color="auto" w:val="clear"/>
            <w:tcMar>
              <w:top w:type="dxa" w:w="110"/>
              <w:left w:type="dxa" w:w="120"/>
              <w:bottom w:type="dxa" w:w="110"/>
              <w:right w:type="dxa" w:w="120"/>
            </w:tcMar>
          </w:tcPr>
          <w:p>
            <w:pPr>
              <w:spacing w:after="5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22C55E"/>
                <w:sz w:val="18"/>
                <w:szCs w:val="18"/>
              </w:rPr>
              <w:t xml:space="preserve">💡 TIP — Kendi yazını kontrol et</w:t>
            </w:r>
          </w:p>
          <w:p>
            <w:pPr>
              <w:spacing w:after="3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Bir paragrafta en fazla 2–3 “ileri” yapı yeterlidir. Aynı yapıyı art arda kullanma; cümle uzunluklarını değiştir. Okuyucu yapıyı değil fikri fark etmeli. </w:t>
            </w:r>
          </w:p>
        </w:tc>
      </w:tr>
    </w:tbl>
    <w:p>
      <w:pPr>
        <w:spacing w:after="100" w:before="0" w:line="276"/>
      </w:pPr>
    </w:p>
    <w:p>
      <w:pPr>
        <w:keepNext/>
        <w:pBdr>
          <w:bottom w:val="single" w:color="E2E8F0" w:sz="4" w:space="2"/>
        </w:pBdr>
        <w:spacing w:after="80" w:before="16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1E3C"/>
          <w:sz w:val="22"/>
          <w:szCs w:val="22"/>
        </w:rPr>
        <w:t xml:space="preserve">📝 Kendine sor — pratik yap</w:t>
      </w:r>
    </w:p>
    <w:p>
      <w:pPr>
        <w:spacing w:after="9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92400E"/>
          <w:sz w:val="21"/>
          <w:szCs w:val="21"/>
        </w:rPr>
        <w:t xml:space="preserve">1.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Rarely ______ I seen such dedication. (inversion)</w:t>
      </w:r>
    </w:p>
    <w:p>
      <w:pPr>
        <w:spacing w:after="9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92400E"/>
          <w:sz w:val="21"/>
          <w:szCs w:val="21"/>
        </w:rPr>
        <w:t xml:space="preserve">2.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______ spent years abroad, she spoke three languages. (participle)</w:t>
      </w:r>
    </w:p>
    <w:p>
      <w:pPr>
        <w:spacing w:after="9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92400E"/>
          <w:sz w:val="21"/>
          <w:szCs w:val="21"/>
        </w:rPr>
        <w:t xml:space="preserve">3.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______ matters most is honesty. (nominal clause)</w:t>
      </w:r>
    </w:p>
    <w:p>
      <w:pPr>
        <w:spacing w:after="9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92400E"/>
          <w:sz w:val="21"/>
          <w:szCs w:val="21"/>
        </w:rPr>
        <w:t xml:space="preserve">4.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Much ______ I admire him, I disagree with him. (concession)</w:t>
      </w:r>
    </w:p>
    <w:p>
      <w:pPr>
        <w:spacing w:after="200" w:before="0" w:line="276"/>
      </w:pP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0"/>
        <w:gridCol w:w="9586"/>
      </w:tblGrid>
      <w:tr>
        <w:tc>
          <w:tcPr>
            <w:tcW w:type="dxa" w:w="5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D97706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 w:line="276"/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22"/>
                <w:szCs w:val="22"/>
              </w:rPr>
              <w:t xml:space="preserve">3</w:t>
            </w:r>
          </w:p>
        </w:tc>
        <w:tc>
          <w:tcPr>
            <w:tcW w:type="dxa" w:w="9586"/>
            <w:tcBorders>
              <w:top w:val="none" w:color="FFFFFF" w:sz="0"/>
              <w:left w:val="none" w:color="FFFFFF" w:sz="0"/>
              <w:bottom w:val="single" w:color="FEF3C7" w:sz="12"/>
              <w:right w:val="none" w:color="FFFFFF" w:sz="0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Georgia" w:cs="Georgia" w:eastAsia="Georgia" w:hAnsi="Georgia"/>
                <w:b/>
                <w:bCs/>
                <w:color w:val="0F1E3C"/>
                <w:sz w:val="30"/>
                <w:szCs w:val="30"/>
              </w:rPr>
              <w:t xml:space="preserve">Reading · Okuma</w:t>
            </w:r>
          </w:p>
        </w:tc>
      </w:tr>
    </w:tbl>
    <w:p>
      <w:pPr>
        <w:spacing w:after="100" w:before="0" w:line="276"/>
      </w:pPr>
    </w:p>
    <w:p>
      <w:pPr>
        <w:spacing w:after="100" w:before="0" w:line="276"/>
      </w:pPr>
      <w:r>
        <w:rPr>
          <w:rFonts w:ascii="Georgia" w:cs="Georgia" w:eastAsia="Georgia" w:hAnsi="Georgia"/>
          <w:b/>
          <w:bCs/>
          <w:color w:val="0F1E3C"/>
          <w:sz w:val="26"/>
          <w:szCs w:val="26"/>
        </w:rPr>
        <w:t xml:space="preserve">What Is a Life Well Lived?</w:t>
      </w:r>
    </w:p>
    <w:p>
      <w:pPr>
        <w:spacing w:after="120" w:before="0" w:line="320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2"/>
          <w:szCs w:val="22"/>
          <w:highlight w:val="yellow"/>
          <w:highlightCs w:val="yellow"/>
        </w:rPr>
        <w:t xml:space="preserve">What constitutes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 a life well-lived is perhaps the oldest question in philosophy — and, </w:t>
      </w: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2"/>
          <w:szCs w:val="22"/>
          <w:highlight w:val="yellow"/>
          <w:highlightCs w:val="yellow"/>
        </w:rPr>
        <w:t xml:space="preserve">arguably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, the one we are least equipped to answer in the age of social media and curated identity.</w:t>
      </w:r>
    </w:p>
    <w:p>
      <w:pPr>
        <w:spacing w:after="120" w:before="0" w:line="320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2"/>
          <w:szCs w:val="22"/>
          <w:highlight w:val="yellow"/>
          <w:highlightCs w:val="yellow"/>
        </w:rPr>
        <w:t xml:space="preserve">Never has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 the pressure to perform a successful life been greater, yet </w:t>
      </w: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2"/>
          <w:szCs w:val="22"/>
          <w:highlight w:val="yellow"/>
          <w:highlightCs w:val="yellow"/>
        </w:rPr>
        <w:t xml:space="preserve">rarely has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 the gap between performance and genuine satisfaction been wider. </w:t>
      </w: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2"/>
          <w:szCs w:val="22"/>
          <w:highlight w:val="yellow"/>
          <w:highlightCs w:val="yellow"/>
        </w:rPr>
        <w:t xml:space="preserve">Much as we may know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, intellectually, that the images we consume on social platforms represent filtered fictions, this knowledge does not neutralise their emotional impact.</w:t>
      </w:r>
    </w:p>
    <w:p>
      <w:pPr>
        <w:spacing w:after="120" w:before="0" w:line="320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2"/>
          <w:szCs w:val="22"/>
          <w:highlight w:val="yellow"/>
          <w:highlightCs w:val="yellow"/>
        </w:rPr>
        <w:t xml:space="preserve">Having spent several years caring for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 dying patients, Australian palliative-care worker Bronnie Ware wrote about a striking pattern in her 2011 book: the regrets she heard were remarkably consistent. </w:t>
      </w: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2"/>
          <w:szCs w:val="22"/>
          <w:highlight w:val="yellow"/>
          <w:highlightCs w:val="yellow"/>
        </w:rPr>
        <w:t xml:space="preserve">Notably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, they were not about failures of ambition — jobs not taken, risks not run. They were, </w:t>
      </w: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2"/>
          <w:szCs w:val="22"/>
          <w:highlight w:val="yellow"/>
          <w:highlightCs w:val="yellow"/>
        </w:rPr>
        <w:t xml:space="preserve">strikingly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, failures of authenticity and connection: not having lived more truthfully, not having expressed feelings, not having maintained friendships.</w:t>
      </w:r>
    </w:p>
    <w:p>
      <w:pPr>
        <w:spacing w:after="120" w:before="0" w:line="320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2"/>
          <w:szCs w:val="22"/>
          <w:highlight w:val="yellow"/>
          <w:highlightCs w:val="yellow"/>
        </w:rPr>
        <w:t xml:space="preserve">Compelling though the case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 for ambition and achievement may be, her observations — personal rather than scientific — suggest that </w:t>
      </w: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2"/>
          <w:szCs w:val="22"/>
          <w:highlight w:val="yellow"/>
          <w:highlightCs w:val="yellow"/>
        </w:rPr>
        <w:t xml:space="preserve">what we leave unlived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 may matter as much as what we accomplish. </w:t>
      </w: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2"/>
          <w:szCs w:val="22"/>
          <w:highlight w:val="yellow"/>
          <w:highlightCs w:val="yellow"/>
        </w:rPr>
        <w:t xml:space="preserve">Notwithstanding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 the risks of excessive introspection, there is a distinction — </w:t>
      </w: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2"/>
          <w:szCs w:val="22"/>
          <w:highlight w:val="yellow"/>
          <w:highlightCs w:val="yellow"/>
        </w:rPr>
        <w:t xml:space="preserve">the fact that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 this distinction is rarely articulated does not make it less real — between rumination and genuine reflection that leads to change.</w:t>
      </w:r>
    </w:p>
    <w:p>
      <w:pPr>
        <w:spacing w:after="120" w:before="0" w:line="320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2"/>
          <w:szCs w:val="22"/>
          <w:highlight w:val="yellow"/>
          <w:highlightCs w:val="yellow"/>
        </w:rPr>
        <w:t xml:space="preserve">Whatever time remains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, the question worth asking is not "What did I accomplish?" but "Did I live in accordance with what I actually value?" </w:t>
      </w: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2"/>
          <w:szCs w:val="22"/>
          <w:highlight w:val="yellow"/>
          <w:highlightCs w:val="yellow"/>
        </w:rPr>
        <w:t xml:space="preserve">Whether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 we have the courage to answer honestly, and to act on the answer — </w:t>
      </w: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2"/>
          <w:szCs w:val="22"/>
          <w:highlight w:val="yellow"/>
          <w:highlightCs w:val="yellow"/>
        </w:rPr>
        <w:t xml:space="preserve">that is what determines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 the character of a life.</w:t>
      </w:r>
    </w:p>
    <w:p>
      <w:pPr>
        <w:spacing w:after="40" w:before="0" w:line="276"/>
      </w:pP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7"/>
          <w:szCs w:val="17"/>
        </w:rPr>
        <w:t xml:space="preserve">ℹ Gerçek olay ve araştırmalara dayanır; ders amacıyla sadeleştirilmiştir.</w:t>
      </w:r>
    </w:p>
    <w:p>
      <w:pPr>
        <w:keepNext/>
        <w:spacing w:after="2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1E3C"/>
          <w:sz w:val="17"/>
          <w:szCs w:val="17"/>
        </w:rPr>
        <w:t xml:space="preserve">Kaynaklar:</w:t>
      </w:r>
    </w:p>
    <w:p>
      <w:pPr>
        <w:spacing w:after="20" w:before="0" w:line="276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16"/>
          <w:szCs w:val="16"/>
        </w:rPr>
        <w:t xml:space="preserve">• Bronnie Ware — Regrets of the Dying — </w:t>
      </w:r>
      <w:hyperlink w:history="1" r:id="rIdgnno-o1yyrdgrentkbvcw">
        <w:r>
          <w:rPr>
            <w:rFonts w:ascii="Calibri" w:cs="Calibri" w:eastAsia="Calibri" w:hAnsi="Calibri"/>
            <w:color w:val="1D4ED8"/>
            <w:sz w:val="16"/>
            <w:szCs w:val="16"/>
            <w:u w:val="single"/>
          </w:rPr>
          <w:t xml:space="preserve">https://bronnieware.com/blog/regrets-of-the-dying/</w:t>
        </w:r>
      </w:hyperlink>
    </w:p>
    <w:p>
      <w:pPr>
        <w:keepNext/>
        <w:spacing w:after="60" w:before="12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1E3C"/>
          <w:sz w:val="21"/>
          <w:szCs w:val="21"/>
        </w:rPr>
        <w:t xml:space="preserve">Comprehension Questions</w:t>
      </w:r>
    </w:p>
    <w:p>
      <w:pPr>
        <w:keepNext/>
        <w:spacing w:after="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0"/>
          <w:szCs w:val="20"/>
        </w:rPr>
        <w:t xml:space="preserve">1. What consistent pattern did Bronnie Ware find in people's end-of-life regrets?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06"/>
      </w:tblGrid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</w:tbl>
    <w:p>
      <w:pPr>
        <w:keepNext/>
        <w:spacing w:after="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0"/>
          <w:szCs w:val="20"/>
        </w:rPr>
        <w:t xml:space="preserve">2. What does the text suggest 'what we leave unlived' might mean?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06"/>
      </w:tblGrid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</w:tbl>
    <w:p>
      <w:pPr>
        <w:keepNext/>
        <w:spacing w:after="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0"/>
          <w:szCs w:val="20"/>
        </w:rPr>
        <w:t xml:space="preserve">3. Find one example of inversion, one nominal clause, one participial phrase, and one advanced concessive structure.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06"/>
      </w:tblGrid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</w:tbl>
    <w:p>
      <w:pPr>
        <w:keepNext/>
        <w:spacing w:after="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0"/>
          <w:szCs w:val="20"/>
        </w:rPr>
        <w:t xml:space="preserve">4. Find 2 stance adverbials and explain what each signals about the writer's position.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06"/>
      </w:tblGrid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</w:tbl>
    <w:p>
      <w:pPr>
        <w:spacing w:after="240" w:before="0" w:line="276"/>
      </w:pP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0"/>
        <w:gridCol w:w="9586"/>
      </w:tblGrid>
      <w:tr>
        <w:tc>
          <w:tcPr>
            <w:tcW w:type="dxa" w:w="5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D97706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 w:line="276"/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22"/>
                <w:szCs w:val="22"/>
              </w:rPr>
              <w:t xml:space="preserve">4</w:t>
            </w:r>
          </w:p>
        </w:tc>
        <w:tc>
          <w:tcPr>
            <w:tcW w:type="dxa" w:w="9586"/>
            <w:tcBorders>
              <w:top w:val="none" w:color="FFFFFF" w:sz="0"/>
              <w:left w:val="none" w:color="FFFFFF" w:sz="0"/>
              <w:bottom w:val="single" w:color="FEF3C7" w:sz="12"/>
              <w:right w:val="none" w:color="FFFFFF" w:sz="0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Georgia" w:cs="Georgia" w:eastAsia="Georgia" w:hAnsi="Georgia"/>
                <w:b/>
                <w:bCs/>
                <w:color w:val="0F1E3C"/>
                <w:sz w:val="30"/>
                <w:szCs w:val="30"/>
              </w:rPr>
              <w:t xml:space="preserve">Exercises · Alıştırmalar</w:t>
            </w:r>
          </w:p>
        </w:tc>
      </w:tr>
    </w:tbl>
    <w:p>
      <w:pPr>
        <w:spacing w:after="60" w:before="0" w:line="276"/>
      </w:pPr>
    </w:p>
    <w:p>
      <w:pPr>
        <w:spacing w:after="80" w:before="0" w:line="276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18"/>
          <w:szCs w:val="18"/>
        </w:rPr>
        <w:t xml:space="preserve">Doğru seçeneği işaretle.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92400E"/>
          <w:sz w:val="21"/>
          <w:szCs w:val="21"/>
        </w:rPr>
        <w:t xml:space="preserve">1.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___ constitutes genuine success remains deeply personal and contested.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That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What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Which     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92400E"/>
          <w:sz w:val="21"/>
          <w:szCs w:val="21"/>
        </w:rPr>
        <w:t xml:space="preserve">2.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Never ___ such philosophical pressure on a single generation.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has there been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there has been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was there     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92400E"/>
          <w:sz w:val="21"/>
          <w:szCs w:val="21"/>
        </w:rPr>
        <w:t xml:space="preserve">3.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___ that he had neglected so many relationships, he resolved to change course.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Having realised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Realised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Having realise     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92400E"/>
          <w:sz w:val="21"/>
          <w:szCs w:val="21"/>
        </w:rPr>
        <w:t xml:space="preserve">4.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Much ___ we may regret past choices, dwelling on them helps no one.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though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as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like     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92400E"/>
          <w:sz w:val="21"/>
          <w:szCs w:val="21"/>
        </w:rPr>
        <w:t xml:space="preserve">5.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The fact ___ we have finite time should concentrate our priorities powerfully.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which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of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that     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92400E"/>
          <w:sz w:val="21"/>
          <w:szCs w:val="21"/>
        </w:rPr>
        <w:t xml:space="preserve">6.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___ though the case for relentless ambition may be, balance matters more.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Compellingly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Compelled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Compelling     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92400E"/>
          <w:sz w:val="21"/>
          <w:szCs w:val="21"/>
        </w:rPr>
        <w:t xml:space="preserve">7.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___ she decides to do now, the earlier choices will always have been made.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However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Wherever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Whatever     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92400E"/>
          <w:sz w:val="21"/>
          <w:szCs w:val="21"/>
        </w:rPr>
        <w:t xml:space="preserve">8.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___ time had been spent more wisely, the outcome might have been very different.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Were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Should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Had     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92400E"/>
          <w:sz w:val="21"/>
          <w:szCs w:val="21"/>
        </w:rPr>
        <w:t xml:space="preserve">9.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___ the very real difficulty of the path ahead, the journey is worth taking.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Notwithstanding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For all that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Despite of     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92400E"/>
          <w:sz w:val="21"/>
          <w:szCs w:val="21"/>
        </w:rPr>
        <w:t xml:space="preserve">10.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___ she said in that final speech moved everyone who was present.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That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Which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What     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92400E"/>
          <w:sz w:val="21"/>
          <w:szCs w:val="21"/>
        </w:rPr>
        <w:t xml:space="preserve">11.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___ his many documented achievements, he spoke most movingly of his regrets.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For all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Despite of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Although     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92400E"/>
          <w:sz w:val="21"/>
          <w:szCs w:val="21"/>
        </w:rPr>
        <w:t xml:space="preserve">12.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Having ___ deeply on these questions, she arrived at an unexpected peace. (reflect)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reflecting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reflected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to reflect     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92400E"/>
          <w:sz w:val="21"/>
          <w:szCs w:val="21"/>
        </w:rPr>
        <w:t xml:space="preserve">13.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___ we define a worthwhile life shapes everything else about how we live it.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What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Whether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How     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92400E"/>
          <w:sz w:val="21"/>
          <w:szCs w:val="21"/>
        </w:rPr>
        <w:t xml:space="preserve">14.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Rarely ___ such honest engagement with these questions among policymakers.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do we find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we find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have we find     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92400E"/>
          <w:sz w:val="21"/>
          <w:szCs w:val="21"/>
        </w:rPr>
        <w:t xml:space="preserve">15.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___ opportunities remain available to us, they must be used with intention.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However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Wherever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Whatever     </w:t>
      </w:r>
    </w:p>
    <w:p>
      <w:pPr>
        <w:spacing w:after="240" w:before="0" w:line="276"/>
      </w:pP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0"/>
        <w:gridCol w:w="9586"/>
      </w:tblGrid>
      <w:tr>
        <w:tc>
          <w:tcPr>
            <w:tcW w:type="dxa" w:w="5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D97706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 w:line="276"/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22"/>
                <w:szCs w:val="22"/>
              </w:rPr>
              <w:t xml:space="preserve">5</w:t>
            </w:r>
          </w:p>
        </w:tc>
        <w:tc>
          <w:tcPr>
            <w:tcW w:type="dxa" w:w="9586"/>
            <w:tcBorders>
              <w:top w:val="none" w:color="FFFFFF" w:sz="0"/>
              <w:left w:val="none" w:color="FFFFFF" w:sz="0"/>
              <w:bottom w:val="single" w:color="FEF3C7" w:sz="12"/>
              <w:right w:val="none" w:color="FFFFFF" w:sz="0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Georgia" w:cs="Georgia" w:eastAsia="Georgia" w:hAnsi="Georgia"/>
                <w:b/>
                <w:bCs/>
                <w:color w:val="0F1E3C"/>
                <w:sz w:val="30"/>
                <w:szCs w:val="30"/>
              </w:rPr>
              <w:t xml:space="preserve">Writing · Yazma</w:t>
            </w:r>
          </w:p>
        </w:tc>
      </w:tr>
    </w:tbl>
    <w:p>
      <w:pPr>
        <w:spacing w:after="100" w:before="0" w:line="276"/>
      </w:pPr>
    </w:p>
    <w:p>
      <w:pPr>
        <w:keepNext/>
        <w:spacing w:after="40" w:before="10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1E3C"/>
          <w:sz w:val="22"/>
          <w:szCs w:val="22"/>
        </w:rPr>
        <w:t xml:space="preserve">1. Tam sentez — zorunlu</w:t>
      </w:r>
    </w:p>
    <w:p>
      <w:pPr>
        <w:keepNext/>
        <w:spacing w:after="20" w:before="0" w:line="276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0"/>
          <w:szCs w:val="20"/>
        </w:rPr>
        <w:t xml:space="preserve">Write a paragraph of 150–200 words on what constitutes a life well-lived. You MUST use at least 6 different C1 structures:</w:t>
      </w:r>
    </w:p>
    <w:p>
      <w:pPr>
        <w:keepNext/>
        <w:spacing w:after="20" w:before="0" w:line="276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0"/>
          <w:szCs w:val="20"/>
        </w:rPr>
        <w:t xml:space="preserve">• Inversion (Never/Rarely...)</w:t>
      </w:r>
    </w:p>
    <w:p>
      <w:pPr>
        <w:keepNext/>
        <w:spacing w:after="20" w:before="0" w:line="276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0"/>
          <w:szCs w:val="20"/>
        </w:rPr>
        <w:t xml:space="preserve">• Nominal clause (What...)</w:t>
      </w:r>
    </w:p>
    <w:p>
      <w:pPr>
        <w:keepNext/>
        <w:spacing w:after="20" w:before="0" w:line="276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0"/>
          <w:szCs w:val="20"/>
        </w:rPr>
        <w:t xml:space="preserve">• Participial phrase (Having.../V3...)</w:t>
      </w:r>
    </w:p>
    <w:p>
      <w:pPr>
        <w:keepNext/>
        <w:spacing w:after="20" w:before="0" w:line="276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0"/>
          <w:szCs w:val="20"/>
        </w:rPr>
        <w:t xml:space="preserve">• Advanced concession (Compelling though.../Much as...)</w:t>
      </w:r>
    </w:p>
    <w:p>
      <w:pPr>
        <w:keepNext/>
        <w:spacing w:after="20" w:before="0" w:line="276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0"/>
          <w:szCs w:val="20"/>
        </w:rPr>
        <w:t xml:space="preserve">• Formal conditional (Had... / Were... to)</w:t>
      </w:r>
    </w:p>
    <w:p>
      <w:pPr>
        <w:keepNext/>
        <w:spacing w:after="20" w:before="0" w:line="276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0"/>
          <w:szCs w:val="20"/>
        </w:rPr>
        <w:t xml:space="preserve">• Stance adverbial (Arguably/Notably/Strikingly)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06"/>
      </w:tblGrid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</w:tbl>
    <w:p>
      <w:pPr>
        <w:spacing w:after="120" w:before="0" w:line="276"/>
      </w:pPr>
    </w:p>
    <w:p>
      <w:pPr>
        <w:keepNext/>
        <w:spacing w:after="40" w:before="10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1E3C"/>
          <w:sz w:val="22"/>
          <w:szCs w:val="22"/>
        </w:rPr>
        <w:t xml:space="preserve">2. Kişisel yansıma</w:t>
      </w:r>
    </w:p>
    <w:p>
      <w:pPr>
        <w:keepNext/>
        <w:spacing w:after="20" w:before="0" w:line="276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0"/>
          <w:szCs w:val="20"/>
        </w:rPr>
        <w:t xml:space="preserve">Write your own 'list of regrets I am committed to not having' — things you don't want to look back on with regret. Use advanced C1 grammar throughout.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06"/>
      </w:tblGrid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</w:tbl>
    <w:p>
      <w:pPr>
        <w:spacing w:after="120" w:before="0" w:line="276"/>
      </w:pPr>
    </w:p>
    <w:p>
      <w:r>
        <w:br w:type="page"/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0"/>
        <w:gridCol w:w="9586"/>
      </w:tblGrid>
      <w:tr>
        <w:tc>
          <w:tcPr>
            <w:tcW w:type="dxa" w:w="5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D97706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 w:line="276"/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22"/>
                <w:szCs w:val="22"/>
              </w:rPr>
              <w:t xml:space="preserve">✓</w:t>
            </w:r>
          </w:p>
        </w:tc>
        <w:tc>
          <w:tcPr>
            <w:tcW w:type="dxa" w:w="9586"/>
            <w:tcBorders>
              <w:top w:val="none" w:color="FFFFFF" w:sz="0"/>
              <w:left w:val="none" w:color="FFFFFF" w:sz="0"/>
              <w:bottom w:val="single" w:color="FEF3C7" w:sz="12"/>
              <w:right w:val="none" w:color="FFFFFF" w:sz="0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Georgia" w:cs="Georgia" w:eastAsia="Georgia" w:hAnsi="Georgia"/>
                <w:b/>
                <w:bCs/>
                <w:color w:val="0F1E3C"/>
                <w:sz w:val="30"/>
                <w:szCs w:val="30"/>
              </w:rPr>
              <w:t xml:space="preserve">Answer Key · Cevap Anahtarı</w:t>
            </w:r>
          </w:p>
        </w:tc>
      </w:tr>
    </w:tbl>
    <w:p>
      <w:pPr>
        <w:spacing w:after="120" w:before="0" w:line="276"/>
      </w:pPr>
    </w:p>
    <w:p>
      <w:pPr>
        <w:keepNext/>
        <w:pBdr>
          <w:bottom w:val="single" w:color="FEF3C7" w:sz="8" w:space="2"/>
        </w:pBdr>
        <w:spacing w:after="60" w:before="14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1E3C"/>
          <w:sz w:val="22"/>
          <w:szCs w:val="22"/>
        </w:rPr>
        <w:t xml:space="preserve">Exercises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92400E"/>
          <w:sz w:val="19"/>
          <w:szCs w:val="19"/>
        </w:rPr>
        <w:t xml:space="preserve">1. b) What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Nominal clause as subject: What + clause + IS (tekil fiil)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92400E"/>
          <w:sz w:val="19"/>
          <w:szCs w:val="19"/>
        </w:rPr>
        <w:t xml:space="preserve">2. a) has there been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Inversion after 'Never': Never + has + subject + V3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92400E"/>
          <w:sz w:val="19"/>
          <w:szCs w:val="19"/>
        </w:rPr>
        <w:t xml:space="preserve">3. a) Having realised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Perfect participial: Having + V3 = önce fark etti, sonra karar verdi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92400E"/>
          <w:sz w:val="19"/>
          <w:szCs w:val="19"/>
        </w:rPr>
        <w:t xml:space="preserve">4. b) as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Much as + clause = literary concession (ne kadar...olsa da)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92400E"/>
          <w:sz w:val="19"/>
          <w:szCs w:val="19"/>
        </w:rPr>
        <w:t xml:space="preserve">5. c) that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Abstract noun (fact) + that-clause = nominal clause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92400E"/>
          <w:sz w:val="19"/>
          <w:szCs w:val="19"/>
        </w:rPr>
        <w:t xml:space="preserve">6. c) Compelling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Adj + though + subject + verb (concessive fronting)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92400E"/>
          <w:sz w:val="19"/>
          <w:szCs w:val="19"/>
        </w:rPr>
        <w:t xml:space="preserve">7. c) Whatever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Whatever + clause = ne olursa olsun (concessive)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92400E"/>
          <w:sz w:val="19"/>
          <w:szCs w:val="19"/>
        </w:rPr>
        <w:t xml:space="preserve">8. c) Had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Formal 3rd conditional: Had + subject + V3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92400E"/>
          <w:sz w:val="19"/>
          <w:szCs w:val="19"/>
        </w:rPr>
        <w:t xml:space="preserve">9. a) Notwithstanding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Notwithstanding + noun phrase = formal 'despite'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92400E"/>
          <w:sz w:val="19"/>
          <w:szCs w:val="19"/>
        </w:rPr>
        <w:t xml:space="preserve">10. c) What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What-clause as subject = the things she said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92400E"/>
          <w:sz w:val="19"/>
          <w:szCs w:val="19"/>
        </w:rPr>
        <w:t xml:space="preserve">11. a) For all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For all + noun phrase = tüm başarılarına rağmen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92400E"/>
          <w:sz w:val="19"/>
          <w:szCs w:val="19"/>
        </w:rPr>
        <w:t xml:space="preserve">12. b) reflected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Having + V3 = perfect participial (önce düşündü, sonra huzura erdi)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92400E"/>
          <w:sz w:val="19"/>
          <w:szCs w:val="19"/>
        </w:rPr>
        <w:t xml:space="preserve">13. c) How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How-clause as subject = the way in which we define it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92400E"/>
          <w:sz w:val="19"/>
          <w:szCs w:val="19"/>
        </w:rPr>
        <w:t xml:space="preserve">14. a) do we find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Inversion after 'Rarely': Rarely + do + subject + V1 (present)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92400E"/>
          <w:sz w:val="19"/>
          <w:szCs w:val="19"/>
        </w:rPr>
        <w:t xml:space="preserve">15. c) Whatever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Whatever + noun clause = hangi fırsatlar olursa olsun</w:t>
      </w:r>
    </w:p>
    <w:p>
      <w:pPr>
        <w:keepNext/>
        <w:pBdr>
          <w:bottom w:val="single" w:color="FEF3C7" w:sz="8" w:space="2"/>
        </w:pBdr>
        <w:spacing w:after="60" w:before="14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1E3C"/>
          <w:sz w:val="22"/>
          <w:szCs w:val="22"/>
        </w:rPr>
        <w:t xml:space="preserve">Comprehension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92400E"/>
          <w:sz w:val="19"/>
          <w:szCs w:val="19"/>
        </w:rPr>
        <w:t xml:space="preserve">1.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19"/>
          <w:szCs w:val="19"/>
        </w:rPr>
        <w:t xml:space="preserve">The regrets were about failures of authenticity and connection — not living truthfully, not expressing feelings, not maintaining friendships — not failures of ambition.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92400E"/>
          <w:sz w:val="19"/>
          <w:szCs w:val="19"/>
        </w:rPr>
        <w:t xml:space="preserve">2.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19"/>
          <w:szCs w:val="19"/>
        </w:rPr>
        <w:t xml:space="preserve">The things we didn't do, the authentic self we didn't express — possibly as important as our achievements.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92400E"/>
          <w:sz w:val="19"/>
          <w:szCs w:val="19"/>
        </w:rPr>
        <w:t xml:space="preserve">3.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19"/>
          <w:szCs w:val="19"/>
        </w:rPr>
        <w:t xml:space="preserve">Inversion: 'Never has the pressure been greater' / Nominal: 'What constitutes a life well-lived' / Participial: 'Having spent decades studying' / Concessive: 'Compelling though the case for ambition may be'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92400E"/>
          <w:sz w:val="19"/>
          <w:szCs w:val="19"/>
        </w:rPr>
        <w:t xml:space="preserve">4.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19"/>
          <w:szCs w:val="19"/>
        </w:rPr>
        <w:t xml:space="preserve">e.g. 'Arguably' (debatable but probable) / 'Notably' (drawing attention to surprising finding) / 'Strikingly' (emphatically notable)</w:t>
      </w:r>
    </w:p>
    <w:p>
      <w:pPr>
        <w:keepNext/>
        <w:pBdr>
          <w:bottom w:val="single" w:color="FEF3C7" w:sz="8" w:space="2"/>
        </w:pBdr>
        <w:spacing w:after="60" w:before="14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1E3C"/>
          <w:sz w:val="22"/>
          <w:szCs w:val="22"/>
        </w:rPr>
        <w:t xml:space="preserve">Grammar practice</w:t>
      </w:r>
    </w:p>
    <w:p>
      <w:pPr>
        <w:spacing w:after="40" w:before="0" w:line="276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19"/>
          <w:szCs w:val="19"/>
        </w:rPr>
        <w:t xml:space="preserve">1. Rarely ____ I seen such dedication. (inversion) → </w:t>
      </w: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92400E"/>
          <w:sz w:val="19"/>
          <w:szCs w:val="19"/>
        </w:rPr>
        <w:t xml:space="preserve">have</w:t>
      </w:r>
    </w:p>
    <w:p>
      <w:pPr>
        <w:spacing w:after="40" w:before="0" w:line="276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19"/>
          <w:szCs w:val="19"/>
        </w:rPr>
        <w:t xml:space="preserve">2. ____ spent years abroad, she spoke three languages. (participle) → </w:t>
      </w: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92400E"/>
          <w:sz w:val="19"/>
          <w:szCs w:val="19"/>
        </w:rPr>
        <w:t xml:space="preserve">Having</w:t>
      </w:r>
    </w:p>
    <w:p>
      <w:pPr>
        <w:spacing w:after="40" w:before="0" w:line="276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19"/>
          <w:szCs w:val="19"/>
        </w:rPr>
        <w:t xml:space="preserve">3. ____ matters most is honesty. (nominal clause) → </w:t>
      </w: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92400E"/>
          <w:sz w:val="19"/>
          <w:szCs w:val="19"/>
        </w:rPr>
        <w:t xml:space="preserve">What</w:t>
      </w:r>
    </w:p>
    <w:p>
      <w:pPr>
        <w:spacing w:after="40" w:before="0" w:line="276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19"/>
          <w:szCs w:val="19"/>
        </w:rPr>
        <w:t xml:space="preserve">4. Much ____ I admire him, I disagree with him. (concession) → </w:t>
      </w: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92400E"/>
          <w:sz w:val="19"/>
          <w:szCs w:val="19"/>
        </w:rPr>
        <w:t xml:space="preserve">as</w:t>
      </w:r>
    </w:p>
    <w:p>
      <w:pPr>
        <w:keepNext/>
        <w:pBdr>
          <w:bottom w:val="single" w:color="FEF3C7" w:sz="8" w:space="2"/>
        </w:pBdr>
        <w:spacing w:after="60" w:before="14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1E3C"/>
          <w:sz w:val="22"/>
          <w:szCs w:val="22"/>
        </w:rPr>
        <w:t xml:space="preserve">Writing — örnek cevaplar</w:t>
      </w:r>
    </w:p>
    <w:p>
      <w:pPr>
        <w:keepNext/>
        <w:spacing w:after="40" w:before="6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92400E"/>
          <w:sz w:val="19"/>
          <w:szCs w:val="19"/>
        </w:rPr>
        <w:t xml:space="preserve">Görev 1 — Tam sentez — zorunlu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06"/>
      </w:tblGrid>
      <w:tr>
        <w:tc>
          <w:tcPr>
            <w:tcW w:type="dxa" w:w="10106"/>
            <w:tcBorders>
              <w:top w:val="none" w:color="FFFFFF" w:sz="0"/>
              <w:left w:val="single" w:color="A855F7" w:sz="18"/>
              <w:bottom w:val="none" w:color="FFFFFF" w:sz="0"/>
              <w:right w:val="none" w:color="FFFFFF" w:sz="0"/>
            </w:tcBorders>
            <w:shd w:fill="FDF4FF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color w:val="4C1D95"/>
                <w:sz w:val="19"/>
                <w:szCs w:val="19"/>
              </w:rPr>
              <w:t xml:space="preserve">Arguably, the greatest regret of a life well-lived is not failure, but inauthenticity. What constitutes a meaningful life is a question that has occupied philosophers for millennia. Strikingly, the research consistently shows that connection and honesty — not achievement — define what people value at the end. Notably, Bronnie Ware's research transformed how many people think about priorities.</w:t>
            </w:r>
          </w:p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color w:val="4C1D95"/>
                <w:sz w:val="19"/>
                <w:szCs w:val="19"/>
              </w:rPr>
              <w:t xml:space="preserve"/>
            </w:r>
          </w:p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color w:val="4C1D95"/>
                <w:sz w:val="19"/>
                <w:szCs w:val="19"/>
              </w:rPr>
              <w:t xml:space="preserve">Compelling though the case for ambition may be, what matters most is whether we lived according to our own values. Having spent decades observing end-of-life regrets, Ware found that professional achievements were rarely mentioned. Never has this evidence been more important than in our achievement-obsessed culture. Were we to take this research seriously, our choices — about work, relationships, and time — would look radically different. What we leave unlived may be as significant as what we accomplish.</w:t>
            </w:r>
          </w:p>
        </w:tc>
      </w:tr>
    </w:tbl>
    <w:p>
      <w:pPr>
        <w:keepNext/>
        <w:spacing w:after="40" w:before="6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92400E"/>
          <w:sz w:val="19"/>
          <w:szCs w:val="19"/>
        </w:rPr>
        <w:t xml:space="preserve">Görev 2 — Kişisel yansıma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06"/>
      </w:tblGrid>
      <w:tr>
        <w:tc>
          <w:tcPr>
            <w:tcW w:type="dxa" w:w="10106"/>
            <w:tcBorders>
              <w:top w:val="none" w:color="FFFFFF" w:sz="0"/>
              <w:left w:val="single" w:color="A855F7" w:sz="18"/>
              <w:bottom w:val="none" w:color="FFFFFF" w:sz="0"/>
              <w:right w:val="none" w:color="FFFFFF" w:sz="0"/>
            </w:tcBorders>
            <w:shd w:fill="FDF4FF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color w:val="4C1D95"/>
                <w:sz w:val="19"/>
                <w:szCs w:val="19"/>
              </w:rPr>
              <w:t xml:space="preserve">I am committed to not regretting the conversations I didn't have. What matters most to me is that the people I love know it. Never will I look back and wish I had spent more time at my desk. Arguably, presence is the most valuable thing we can give another person. Had I understood this earlier, I would have put down my phone at dinner years ago.</w:t>
            </w:r>
          </w:p>
        </w:tc>
      </w:tr>
    </w:tbl>
    <w:p>
      <w:pPr>
        <w:spacing w:after="200" w:before="0" w:line="276"/>
      </w:pPr>
    </w:p>
    <w:p>
      <w:pPr>
        <w:spacing w:after="80" w:before="0" w:line="276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18"/>
          <w:szCs w:val="18"/>
        </w:rPr>
        <w:t xml:space="preserve">İnteraktif sürüm, anında geri bildirim ve XP için: </w:t>
      </w: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92400E"/>
          <w:sz w:val="18"/>
          <w:szCs w:val="18"/>
        </w:rPr>
        <w:t xml:space="preserve">abonlinenglish.school/ingilizce-c1/unite-9-c1-grammar-synthesis</w:t>
      </w:r>
    </w:p>
    <w:sectPr>
      <w:headerReference w:type="default" r:id="rId7"/>
      <w:footerReference w:type="default" r:id="rId8"/>
      <w:pgSz w:w="11906" w:h="16838" w:orient="portrait"/>
      <w:pgMar w:top="1100" w:right="900" w:bottom="950" w:left="900" w:header="450" w:footer="4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10106"/>
      </w:tabs>
    </w:pPr>
    <w:r>
      <w:rPr>
        <w:rFonts w:ascii="Calibri" w:cs="Calibri" w:eastAsia="Calibri" w:hAnsi="Calibri"/>
        <w:b w:val="false"/>
        <w:bCs w:val="false"/>
        <w:i w:val="false"/>
        <w:iCs w:val="false"/>
        <w:strike w:val="false"/>
        <w:color w:val="94A3B8"/>
        <w:sz w:val="14"/>
        <w:szCs w:val="14"/>
      </w:rPr>
      <w:t xml:space="preserve">abonlinenglish.school/ingilizce-c1/unite-9-c1-grammar-synthesis · Ücretsiz İngilizce öğren</w:t>
    </w:r>
    <w:r>
      <w:rPr>
        <w:rFonts w:ascii="Calibri" w:cs="Calibri" w:eastAsia="Calibri" w:hAnsi="Calibri"/>
        <w:color w:val="94A3B8"/>
        <w:sz w:val="14"/>
        <w:szCs w:val="14"/>
      </w:rPr>
      <w:t xml:space="preserve">	Sayfa </w:t>
      <w:fldChar w:fldCharType="begin"/>
      <w:instrText xml:space="preserve">PAGE</w:instrText>
      <w:fldChar w:fldCharType="separate"/>
      <w:fldChar w:fldCharType="end"/>
      <w:t xml:space="preserve"> /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tabs>
        <w:tab w:val="right" w:pos="10106"/>
      </w:tabs>
    </w:pPr>
    <w:r>
      <w:drawing>
        <wp:inline distT="0" distB="0" distL="0" distR="0">
          <wp:extent cx="228600" cy="228600"/>
          <wp:effectExtent t="0" r="0" b="0" l="0"/>
          <wp:docPr id="1" name="logo" descr="AbOnlinEnglish logo" title="AbOnlinEnglis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600" cy="228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Calibri" w:cs="Calibri" w:eastAsia="Calibri" w:hAnsi="Calibri"/>
        <w:b/>
        <w:bCs/>
        <w:i w:val="false"/>
        <w:iCs w:val="false"/>
        <w:strike w:val="false"/>
        <w:color w:val="0F1E3C"/>
        <w:sz w:val="18"/>
        <w:szCs w:val="18"/>
      </w:rPr>
      <w:t xml:space="preserve">  AbOnlin</w:t>
    </w:r>
    <w:r>
      <w:rPr>
        <w:rFonts w:ascii="Calibri" w:cs="Calibri" w:eastAsia="Calibri" w:hAnsi="Calibri"/>
        <w:b/>
        <w:bCs/>
        <w:i w:val="false"/>
        <w:iCs w:val="false"/>
        <w:strike w:val="false"/>
        <w:color w:val="E8A020"/>
        <w:sz w:val="18"/>
        <w:szCs w:val="18"/>
      </w:rPr>
      <w:t xml:space="preserve">English</w:t>
    </w:r>
    <w:r>
      <w:rPr>
        <w:rFonts w:ascii="Calibri" w:cs="Calibri" w:eastAsia="Calibri" w:hAnsi="Calibri"/>
        <w:b/>
        <w:bCs/>
        <w:color w:val="92400E"/>
        <w:sz w:val="16"/>
        <w:szCs w:val="16"/>
      </w:rPr>
      <w:t xml:space="preserve">	C1 · Unit 9 · Time, Regret &amp; the Unlived Life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gnno-o1yyrdgrentkbvcw" Type="http://schemas.openxmlformats.org/officeDocument/2006/relationships/hyperlink" Target="https://bronnieware.com/blog/regrets-of-the-dying/" TargetMode="External"/><Relationship Id="rId9" Type="http://schemas.openxmlformats.org/officeDocument/2006/relationships/image" Target="media/ed359a5dbb6ecdb621cec9d67eb92b523c4bb359.jp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ed359a5dbb6ecdb621cec9d67eb92b523c4bb359.jp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C1 Ünite 9: Time, Regret &amp; the Unlived Life — C1 Yapılarının Sentezi</dc:title>
  <dc:subject>C1 Yapılarının Sentezi</dc:subject>
  <dc:creator>AbOnlinEnglish</dc:creator>
  <cp:keywords>c1 ingilizce, C1 Yapılarının Sentezi, AbOnlinEnglish</cp:keywords>
  <dc:description>abonlinenglish.school — ücretsiz İngilizce çalışma kağıdı</dc:description>
  <cp:lastModifiedBy>Un-named</cp:lastModifiedBy>
  <cp:revision>1</cp:revision>
  <dcterms:created xsi:type="dcterms:W3CDTF">2026-09-23T15:21:19.227Z</dcterms:created>
  <dcterms:modified xsi:type="dcterms:W3CDTF">2026-09-23T15:21:19.227Z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